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3C" w:rsidRDefault="00A6673C">
      <w:pPr>
        <w:rPr>
          <w:b/>
          <w:u w:val="double"/>
        </w:rPr>
      </w:pPr>
      <w:bookmarkStart w:id="0" w:name="_GoBack"/>
      <w:bookmarkEnd w:id="0"/>
      <w:r w:rsidRPr="00DD6AE8">
        <w:rPr>
          <w:b/>
          <w:u w:val="double"/>
        </w:rPr>
        <w:t xml:space="preserve">Pledge Write Off Policy </w:t>
      </w:r>
    </w:p>
    <w:p w:rsidR="00A3293F" w:rsidRDefault="00A3293F">
      <w:pPr>
        <w:rPr>
          <w:b/>
        </w:rPr>
      </w:pPr>
      <w:r>
        <w:rPr>
          <w:b/>
        </w:rPr>
        <w:t xml:space="preserve">Advancement Services will pull pledge information for this process once a quarter (October, January, April and July).  Pledges will be considered overdue when the last payment is 90 days or more past due.  </w:t>
      </w:r>
    </w:p>
    <w:p w:rsidR="00A3293F" w:rsidRDefault="003D1D38">
      <w:pPr>
        <w:rPr>
          <w:b/>
          <w:u w:val="single"/>
        </w:rPr>
      </w:pPr>
      <w:r>
        <w:rPr>
          <w:b/>
          <w:u w:val="single"/>
        </w:rPr>
        <w:t>On pledges of</w:t>
      </w:r>
      <w:r w:rsidR="00A3293F">
        <w:rPr>
          <w:b/>
          <w:u w:val="single"/>
        </w:rPr>
        <w:t xml:space="preserve"> $1,000</w:t>
      </w:r>
      <w:r>
        <w:rPr>
          <w:b/>
          <w:u w:val="single"/>
        </w:rPr>
        <w:t xml:space="preserve"> or less</w:t>
      </w:r>
      <w:r w:rsidR="00A3293F">
        <w:rPr>
          <w:b/>
          <w:u w:val="single"/>
        </w:rPr>
        <w:t>:</w:t>
      </w:r>
    </w:p>
    <w:p w:rsidR="00A3293F" w:rsidRPr="00A3293F" w:rsidRDefault="00A3293F">
      <w:pPr>
        <w:rPr>
          <w:b/>
        </w:rPr>
      </w:pPr>
      <w:r>
        <w:rPr>
          <w:b/>
        </w:rPr>
        <w:t>Advancement Services will notify the benefitting school or unit.  The school or unit has 10 business days to contact the donor.  If Advancement Services does not receive donor documentation for a pledge schedule update within that 10 day window, the pledge will be written off.</w:t>
      </w:r>
    </w:p>
    <w:p w:rsidR="00556254" w:rsidRDefault="00556254">
      <w:pPr>
        <w:rPr>
          <w:b/>
          <w:u w:val="single"/>
        </w:rPr>
      </w:pPr>
      <w:r w:rsidRPr="00556254">
        <w:rPr>
          <w:b/>
          <w:u w:val="single"/>
        </w:rPr>
        <w:t>On pledges less than $50,000</w:t>
      </w:r>
      <w:r>
        <w:rPr>
          <w:b/>
          <w:u w:val="single"/>
        </w:rPr>
        <w:t>:</w:t>
      </w:r>
    </w:p>
    <w:p w:rsidR="00556254" w:rsidRDefault="00A3293F">
      <w:pPr>
        <w:rPr>
          <w:b/>
        </w:rPr>
      </w:pPr>
      <w:r>
        <w:rPr>
          <w:b/>
        </w:rPr>
        <w:t xml:space="preserve">Advancement Services will notify the </w:t>
      </w:r>
      <w:r w:rsidR="00A6673C">
        <w:rPr>
          <w:b/>
        </w:rPr>
        <w:t>Development Officer</w:t>
      </w:r>
      <w:r>
        <w:rPr>
          <w:b/>
        </w:rPr>
        <w:t xml:space="preserve"> or benefitting school or unit.</w:t>
      </w:r>
      <w:r w:rsidR="00A6673C">
        <w:rPr>
          <w:b/>
        </w:rPr>
        <w:t xml:space="preserve">  </w:t>
      </w:r>
      <w:r w:rsidR="002B5FB3">
        <w:rPr>
          <w:b/>
        </w:rPr>
        <w:t>The school or unit has 2</w:t>
      </w:r>
      <w:r>
        <w:rPr>
          <w:b/>
        </w:rPr>
        <w:t>0 business days to contact the donor.  If Advancement Services does not receive donor documentation for a pled</w:t>
      </w:r>
      <w:r w:rsidR="002B5FB3">
        <w:rPr>
          <w:b/>
        </w:rPr>
        <w:t>ge schedule update within that 2</w:t>
      </w:r>
      <w:r>
        <w:rPr>
          <w:b/>
        </w:rPr>
        <w:t xml:space="preserve">0 day window, then </w:t>
      </w:r>
      <w:r w:rsidR="006E7931">
        <w:rPr>
          <w:b/>
        </w:rPr>
        <w:t>Advancement Services will send a letter</w:t>
      </w:r>
      <w:r w:rsidR="00A6673C">
        <w:rPr>
          <w:b/>
        </w:rPr>
        <w:t xml:space="preserve"> to the donor notifying them that we are writing off their pledge</w:t>
      </w:r>
      <w:r>
        <w:rPr>
          <w:b/>
        </w:rPr>
        <w:t>.</w:t>
      </w:r>
      <w:r w:rsidR="00A6673C">
        <w:rPr>
          <w:b/>
        </w:rPr>
        <w:t xml:space="preserve"> </w:t>
      </w:r>
      <w:r w:rsidR="00DD6AE8">
        <w:rPr>
          <w:b/>
        </w:rPr>
        <w:t xml:space="preserve">  </w:t>
      </w:r>
      <w:r>
        <w:rPr>
          <w:b/>
        </w:rPr>
        <w:t>If Advancement Services does not receive donor documentation for a pledge schedule update within 60 days of the date of the letter, the pledge will be written off.</w:t>
      </w:r>
    </w:p>
    <w:p w:rsidR="00556254" w:rsidRPr="00556254" w:rsidRDefault="00556254">
      <w:pPr>
        <w:rPr>
          <w:b/>
          <w:u w:val="single"/>
        </w:rPr>
      </w:pPr>
      <w:r w:rsidRPr="00556254">
        <w:rPr>
          <w:b/>
          <w:u w:val="single"/>
        </w:rPr>
        <w:t>Pledges greater than $50,000:</w:t>
      </w:r>
    </w:p>
    <w:p w:rsidR="00B52115" w:rsidRDefault="00A3293F" w:rsidP="00B52115">
      <w:pPr>
        <w:rPr>
          <w:b/>
        </w:rPr>
      </w:pPr>
      <w:r>
        <w:rPr>
          <w:b/>
        </w:rPr>
        <w:t xml:space="preserve">Advancement Services will notify the Development Officer or benefitting school or unit.   The school or unit has 90 days to contact the donor.  If Advancement Services does not receive donor documentation for a pledge schedule update within that 90 day window, then Advancement Services will send a letter to the donor notifying them that we are writing off their pledge.  </w:t>
      </w:r>
      <w:r w:rsidR="00B52115">
        <w:rPr>
          <w:b/>
        </w:rPr>
        <w:t>If Advancement Services does not receive donor documentation for a pledge schedule update within 60 days of the date of the letter, the pledge will be written off.</w:t>
      </w:r>
    </w:p>
    <w:p w:rsidR="00E56D66" w:rsidRDefault="00B52115">
      <w:pPr>
        <w:rPr>
          <w:b/>
        </w:rPr>
      </w:pPr>
      <w:r>
        <w:rPr>
          <w:b/>
        </w:rPr>
        <w:t>If the donor wants to change their pledge schedule, then</w:t>
      </w:r>
      <w:r w:rsidR="00E56D66">
        <w:rPr>
          <w:b/>
        </w:rPr>
        <w:t xml:space="preserve"> the agreement </w:t>
      </w:r>
      <w:r>
        <w:rPr>
          <w:b/>
        </w:rPr>
        <w:t>will be</w:t>
      </w:r>
      <w:r w:rsidR="00E56D66">
        <w:rPr>
          <w:b/>
        </w:rPr>
        <w:t xml:space="preserve"> revised</w:t>
      </w:r>
      <w:r>
        <w:rPr>
          <w:b/>
        </w:rPr>
        <w:t xml:space="preserve"> via addendum</w:t>
      </w:r>
      <w:r w:rsidR="00E56D66">
        <w:rPr>
          <w:b/>
        </w:rPr>
        <w:t>, the pledge will be revised to reflect the new amount, if appropriate, and new payment dates.  The re-negotiated pledge will not count as a new gift towards metrics or reporting.</w:t>
      </w:r>
    </w:p>
    <w:p w:rsidR="002B5FB3" w:rsidRDefault="002B5FB3">
      <w:pPr>
        <w:rPr>
          <w:b/>
        </w:rPr>
      </w:pPr>
    </w:p>
    <w:p w:rsidR="002B5FB3" w:rsidRDefault="002B5FB3">
      <w:pPr>
        <w:rPr>
          <w:b/>
        </w:rPr>
      </w:pPr>
    </w:p>
    <w:p w:rsidR="002B5FB3" w:rsidRDefault="002B5FB3">
      <w:pPr>
        <w:rPr>
          <w:b/>
        </w:rPr>
      </w:pPr>
    </w:p>
    <w:tbl>
      <w:tblPr>
        <w:tblStyle w:val="TableGrid"/>
        <w:tblW w:w="0" w:type="auto"/>
        <w:tblLook w:val="04A0" w:firstRow="1" w:lastRow="0" w:firstColumn="1" w:lastColumn="0" w:noHBand="0" w:noVBand="1"/>
      </w:tblPr>
      <w:tblGrid>
        <w:gridCol w:w="1498"/>
        <w:gridCol w:w="1405"/>
        <w:gridCol w:w="1395"/>
        <w:gridCol w:w="1186"/>
        <w:gridCol w:w="1395"/>
        <w:gridCol w:w="1346"/>
        <w:gridCol w:w="1337"/>
      </w:tblGrid>
      <w:tr w:rsidR="002B5FB3" w:rsidTr="002B5FB3">
        <w:trPr>
          <w:trHeight w:val="464"/>
        </w:trPr>
        <w:tc>
          <w:tcPr>
            <w:tcW w:w="1498" w:type="dxa"/>
          </w:tcPr>
          <w:p w:rsidR="002B5FB3" w:rsidRDefault="002B5FB3">
            <w:pPr>
              <w:rPr>
                <w:b/>
              </w:rPr>
            </w:pPr>
            <w:r>
              <w:rPr>
                <w:b/>
              </w:rPr>
              <w:lastRenderedPageBreak/>
              <w:t>Pledge Amount</w:t>
            </w:r>
          </w:p>
        </w:tc>
        <w:tc>
          <w:tcPr>
            <w:tcW w:w="1405" w:type="dxa"/>
          </w:tcPr>
          <w:p w:rsidR="002B5FB3" w:rsidRDefault="002B5FB3">
            <w:pPr>
              <w:rPr>
                <w:b/>
              </w:rPr>
            </w:pPr>
            <w:r>
              <w:rPr>
                <w:b/>
              </w:rPr>
              <w:t>Day 1</w:t>
            </w:r>
          </w:p>
        </w:tc>
        <w:tc>
          <w:tcPr>
            <w:tcW w:w="1395" w:type="dxa"/>
          </w:tcPr>
          <w:p w:rsidR="002B5FB3" w:rsidRDefault="002B5FB3">
            <w:pPr>
              <w:rPr>
                <w:b/>
              </w:rPr>
            </w:pPr>
            <w:r>
              <w:rPr>
                <w:b/>
              </w:rPr>
              <w:t>Day 11</w:t>
            </w:r>
          </w:p>
        </w:tc>
        <w:tc>
          <w:tcPr>
            <w:tcW w:w="1186" w:type="dxa"/>
          </w:tcPr>
          <w:p w:rsidR="002B5FB3" w:rsidRDefault="002B5FB3">
            <w:pPr>
              <w:rPr>
                <w:b/>
              </w:rPr>
            </w:pPr>
            <w:r>
              <w:rPr>
                <w:b/>
              </w:rPr>
              <w:t>Day 21</w:t>
            </w:r>
          </w:p>
        </w:tc>
        <w:tc>
          <w:tcPr>
            <w:tcW w:w="1395" w:type="dxa"/>
          </w:tcPr>
          <w:p w:rsidR="002B5FB3" w:rsidRDefault="002B5FB3">
            <w:pPr>
              <w:rPr>
                <w:b/>
              </w:rPr>
            </w:pPr>
            <w:r>
              <w:rPr>
                <w:b/>
              </w:rPr>
              <w:t>Day 81</w:t>
            </w:r>
          </w:p>
        </w:tc>
        <w:tc>
          <w:tcPr>
            <w:tcW w:w="1346" w:type="dxa"/>
          </w:tcPr>
          <w:p w:rsidR="002B5FB3" w:rsidRDefault="002B5FB3">
            <w:pPr>
              <w:rPr>
                <w:b/>
              </w:rPr>
            </w:pPr>
            <w:r>
              <w:rPr>
                <w:b/>
              </w:rPr>
              <w:t>Day 91</w:t>
            </w:r>
          </w:p>
        </w:tc>
        <w:tc>
          <w:tcPr>
            <w:tcW w:w="1337" w:type="dxa"/>
          </w:tcPr>
          <w:p w:rsidR="002B5FB3" w:rsidRDefault="002B5FB3">
            <w:pPr>
              <w:rPr>
                <w:b/>
              </w:rPr>
            </w:pPr>
            <w:r>
              <w:rPr>
                <w:b/>
              </w:rPr>
              <w:t>Day 151</w:t>
            </w:r>
          </w:p>
        </w:tc>
      </w:tr>
      <w:tr w:rsidR="002B5FB3" w:rsidTr="002B5FB3">
        <w:trPr>
          <w:trHeight w:val="451"/>
        </w:trPr>
        <w:tc>
          <w:tcPr>
            <w:tcW w:w="1498" w:type="dxa"/>
          </w:tcPr>
          <w:p w:rsidR="002B5FB3" w:rsidRDefault="002B5FB3">
            <w:pPr>
              <w:rPr>
                <w:b/>
              </w:rPr>
            </w:pPr>
            <w:r>
              <w:rPr>
                <w:b/>
              </w:rPr>
              <w:t>$1000 or less</w:t>
            </w:r>
          </w:p>
        </w:tc>
        <w:tc>
          <w:tcPr>
            <w:tcW w:w="1405" w:type="dxa"/>
          </w:tcPr>
          <w:p w:rsidR="002B5FB3" w:rsidRDefault="002B5FB3">
            <w:pPr>
              <w:rPr>
                <w:b/>
              </w:rPr>
            </w:pPr>
            <w:proofErr w:type="spellStart"/>
            <w:r>
              <w:rPr>
                <w:b/>
              </w:rPr>
              <w:t>Dept</w:t>
            </w:r>
            <w:proofErr w:type="spellEnd"/>
            <w:r>
              <w:rPr>
                <w:b/>
              </w:rPr>
              <w:t xml:space="preserve"> Notified</w:t>
            </w:r>
          </w:p>
        </w:tc>
        <w:tc>
          <w:tcPr>
            <w:tcW w:w="1395" w:type="dxa"/>
          </w:tcPr>
          <w:p w:rsidR="002B5FB3" w:rsidRDefault="002B5FB3">
            <w:pPr>
              <w:rPr>
                <w:b/>
              </w:rPr>
            </w:pPr>
            <w:r>
              <w:rPr>
                <w:b/>
              </w:rPr>
              <w:t>Written off</w:t>
            </w:r>
          </w:p>
        </w:tc>
        <w:tc>
          <w:tcPr>
            <w:tcW w:w="1186" w:type="dxa"/>
          </w:tcPr>
          <w:p w:rsidR="002B5FB3" w:rsidRDefault="002B5FB3">
            <w:pPr>
              <w:rPr>
                <w:b/>
              </w:rPr>
            </w:pPr>
          </w:p>
        </w:tc>
        <w:tc>
          <w:tcPr>
            <w:tcW w:w="1395" w:type="dxa"/>
          </w:tcPr>
          <w:p w:rsidR="002B5FB3" w:rsidRDefault="002B5FB3">
            <w:pPr>
              <w:rPr>
                <w:b/>
              </w:rPr>
            </w:pPr>
          </w:p>
        </w:tc>
        <w:tc>
          <w:tcPr>
            <w:tcW w:w="1346" w:type="dxa"/>
          </w:tcPr>
          <w:p w:rsidR="002B5FB3" w:rsidRDefault="002B5FB3">
            <w:pPr>
              <w:rPr>
                <w:b/>
              </w:rPr>
            </w:pPr>
          </w:p>
        </w:tc>
        <w:tc>
          <w:tcPr>
            <w:tcW w:w="1337" w:type="dxa"/>
          </w:tcPr>
          <w:p w:rsidR="002B5FB3" w:rsidRDefault="002B5FB3">
            <w:pPr>
              <w:rPr>
                <w:b/>
              </w:rPr>
            </w:pPr>
          </w:p>
        </w:tc>
      </w:tr>
      <w:tr w:rsidR="002B5FB3" w:rsidTr="002B5FB3">
        <w:trPr>
          <w:trHeight w:val="464"/>
        </w:trPr>
        <w:tc>
          <w:tcPr>
            <w:tcW w:w="1498" w:type="dxa"/>
          </w:tcPr>
          <w:p w:rsidR="002B5FB3" w:rsidRDefault="002B5FB3">
            <w:pPr>
              <w:rPr>
                <w:b/>
              </w:rPr>
            </w:pPr>
            <w:r>
              <w:rPr>
                <w:b/>
              </w:rPr>
              <w:t>$1001 - $50,000</w:t>
            </w:r>
          </w:p>
        </w:tc>
        <w:tc>
          <w:tcPr>
            <w:tcW w:w="1405" w:type="dxa"/>
          </w:tcPr>
          <w:p w:rsidR="002B5FB3" w:rsidRDefault="002B5FB3">
            <w:pPr>
              <w:rPr>
                <w:b/>
              </w:rPr>
            </w:pPr>
            <w:proofErr w:type="spellStart"/>
            <w:r>
              <w:rPr>
                <w:b/>
              </w:rPr>
              <w:t>Dept</w:t>
            </w:r>
            <w:proofErr w:type="spellEnd"/>
            <w:r>
              <w:rPr>
                <w:b/>
              </w:rPr>
              <w:t xml:space="preserve"> Notified</w:t>
            </w:r>
          </w:p>
        </w:tc>
        <w:tc>
          <w:tcPr>
            <w:tcW w:w="1395" w:type="dxa"/>
          </w:tcPr>
          <w:p w:rsidR="002B5FB3" w:rsidRDefault="002B5FB3">
            <w:pPr>
              <w:rPr>
                <w:b/>
              </w:rPr>
            </w:pPr>
          </w:p>
        </w:tc>
        <w:tc>
          <w:tcPr>
            <w:tcW w:w="1186" w:type="dxa"/>
          </w:tcPr>
          <w:p w:rsidR="002B5FB3" w:rsidRDefault="002B5FB3">
            <w:pPr>
              <w:rPr>
                <w:b/>
              </w:rPr>
            </w:pPr>
            <w:r>
              <w:rPr>
                <w:b/>
              </w:rPr>
              <w:t>Letter sent</w:t>
            </w:r>
          </w:p>
        </w:tc>
        <w:tc>
          <w:tcPr>
            <w:tcW w:w="1395" w:type="dxa"/>
          </w:tcPr>
          <w:p w:rsidR="002B5FB3" w:rsidRDefault="002B5FB3">
            <w:pPr>
              <w:rPr>
                <w:b/>
              </w:rPr>
            </w:pPr>
            <w:r>
              <w:rPr>
                <w:b/>
              </w:rPr>
              <w:t>Written off</w:t>
            </w:r>
          </w:p>
        </w:tc>
        <w:tc>
          <w:tcPr>
            <w:tcW w:w="1346" w:type="dxa"/>
          </w:tcPr>
          <w:p w:rsidR="002B5FB3" w:rsidRDefault="002B5FB3">
            <w:pPr>
              <w:rPr>
                <w:b/>
              </w:rPr>
            </w:pPr>
          </w:p>
        </w:tc>
        <w:tc>
          <w:tcPr>
            <w:tcW w:w="1337" w:type="dxa"/>
          </w:tcPr>
          <w:p w:rsidR="002B5FB3" w:rsidRDefault="002B5FB3">
            <w:pPr>
              <w:rPr>
                <w:b/>
              </w:rPr>
            </w:pPr>
          </w:p>
        </w:tc>
      </w:tr>
      <w:tr w:rsidR="002B5FB3" w:rsidTr="002B5FB3">
        <w:trPr>
          <w:trHeight w:val="70"/>
        </w:trPr>
        <w:tc>
          <w:tcPr>
            <w:tcW w:w="1498" w:type="dxa"/>
          </w:tcPr>
          <w:p w:rsidR="002B5FB3" w:rsidRDefault="002B5FB3">
            <w:pPr>
              <w:rPr>
                <w:b/>
              </w:rPr>
            </w:pPr>
            <w:r>
              <w:rPr>
                <w:b/>
              </w:rPr>
              <w:t>$50,000+</w:t>
            </w:r>
          </w:p>
        </w:tc>
        <w:tc>
          <w:tcPr>
            <w:tcW w:w="1405" w:type="dxa"/>
          </w:tcPr>
          <w:p w:rsidR="002B5FB3" w:rsidRDefault="002B5FB3">
            <w:pPr>
              <w:rPr>
                <w:b/>
              </w:rPr>
            </w:pPr>
            <w:proofErr w:type="spellStart"/>
            <w:r>
              <w:rPr>
                <w:b/>
              </w:rPr>
              <w:t>Dept</w:t>
            </w:r>
            <w:proofErr w:type="spellEnd"/>
            <w:r>
              <w:rPr>
                <w:b/>
              </w:rPr>
              <w:t xml:space="preserve"> Notified</w:t>
            </w:r>
          </w:p>
        </w:tc>
        <w:tc>
          <w:tcPr>
            <w:tcW w:w="1395" w:type="dxa"/>
          </w:tcPr>
          <w:p w:rsidR="002B5FB3" w:rsidRDefault="002B5FB3">
            <w:pPr>
              <w:rPr>
                <w:b/>
              </w:rPr>
            </w:pPr>
          </w:p>
        </w:tc>
        <w:tc>
          <w:tcPr>
            <w:tcW w:w="1186" w:type="dxa"/>
          </w:tcPr>
          <w:p w:rsidR="002B5FB3" w:rsidRDefault="002B5FB3">
            <w:pPr>
              <w:rPr>
                <w:b/>
              </w:rPr>
            </w:pPr>
          </w:p>
        </w:tc>
        <w:tc>
          <w:tcPr>
            <w:tcW w:w="1395" w:type="dxa"/>
          </w:tcPr>
          <w:p w:rsidR="002B5FB3" w:rsidRDefault="002B5FB3">
            <w:pPr>
              <w:rPr>
                <w:b/>
              </w:rPr>
            </w:pPr>
          </w:p>
        </w:tc>
        <w:tc>
          <w:tcPr>
            <w:tcW w:w="1346" w:type="dxa"/>
          </w:tcPr>
          <w:p w:rsidR="002B5FB3" w:rsidRDefault="002B5FB3">
            <w:pPr>
              <w:rPr>
                <w:b/>
              </w:rPr>
            </w:pPr>
            <w:r>
              <w:rPr>
                <w:b/>
              </w:rPr>
              <w:t>Letter Sent</w:t>
            </w:r>
          </w:p>
        </w:tc>
        <w:tc>
          <w:tcPr>
            <w:tcW w:w="1337" w:type="dxa"/>
          </w:tcPr>
          <w:p w:rsidR="002B5FB3" w:rsidRDefault="002B5FB3">
            <w:pPr>
              <w:rPr>
                <w:b/>
              </w:rPr>
            </w:pPr>
            <w:r>
              <w:rPr>
                <w:b/>
              </w:rPr>
              <w:t>Written off</w:t>
            </w:r>
          </w:p>
        </w:tc>
      </w:tr>
    </w:tbl>
    <w:p w:rsidR="00A6673C" w:rsidRDefault="00A6673C" w:rsidP="003D1D38">
      <w:pPr>
        <w:rPr>
          <w:b/>
        </w:rPr>
      </w:pPr>
    </w:p>
    <w:sectPr w:rsidR="00A667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18" w:rsidRDefault="006B7C18" w:rsidP="006E7931">
      <w:pPr>
        <w:spacing w:after="0" w:line="240" w:lineRule="auto"/>
      </w:pPr>
      <w:r>
        <w:separator/>
      </w:r>
    </w:p>
  </w:endnote>
  <w:endnote w:type="continuationSeparator" w:id="0">
    <w:p w:rsidR="006B7C18" w:rsidRDefault="006B7C18" w:rsidP="006E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UC Davis Book">
    <w:altName w:val="LuzSans-Book"/>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B3" w:rsidRDefault="002B5FB3">
    <w:pPr>
      <w:pStyle w:val="Footer"/>
    </w:pPr>
    <w:r>
      <w:t>Version 1.1</w:t>
    </w:r>
  </w:p>
  <w:p w:rsidR="002B5FB3" w:rsidRDefault="002B5FB3">
    <w:pPr>
      <w:pStyle w:val="Footer"/>
    </w:pPr>
    <w:r>
      <w:t>March 24, 2015</w:t>
    </w:r>
  </w:p>
  <w:p w:rsidR="002B5FB3" w:rsidRDefault="002B5FB3">
    <w:pPr>
      <w:pStyle w:val="Footer"/>
    </w:pPr>
    <w:r>
      <w:t>JSM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18" w:rsidRDefault="006B7C18" w:rsidP="006E7931">
      <w:pPr>
        <w:spacing w:after="0" w:line="240" w:lineRule="auto"/>
      </w:pPr>
      <w:r>
        <w:separator/>
      </w:r>
    </w:p>
  </w:footnote>
  <w:footnote w:type="continuationSeparator" w:id="0">
    <w:p w:rsidR="006B7C18" w:rsidRDefault="006B7C18" w:rsidP="006E7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31" w:rsidRDefault="006E7931" w:rsidP="006E7931">
    <w:pPr>
      <w:tabs>
        <w:tab w:val="center" w:pos="7100"/>
      </w:tabs>
      <w:spacing w:before="120"/>
      <w:rPr>
        <w:rFonts w:ascii="Berkeley UC Davis Book" w:eastAsia="Times New Roman" w:hAnsi="Berkeley UC Davis Book" w:cs="Times New Roman"/>
        <w:b/>
        <w:color w:val="1F497D" w:themeColor="text2"/>
        <w:sz w:val="20"/>
        <w:szCs w:val="20"/>
      </w:rPr>
    </w:pPr>
    <w:r>
      <w:rPr>
        <w:noProof/>
        <w:color w:val="0000FF"/>
      </w:rPr>
      <w:drawing>
        <wp:inline distT="0" distB="0" distL="0" distR="0" wp14:anchorId="77BAB183" wp14:editId="5038D6BD">
          <wp:extent cx="2133600" cy="514350"/>
          <wp:effectExtent l="0" t="0" r="0" b="0"/>
          <wp:docPr id="1" name="Picture 1" descr="UC Davis: University of Californ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 Davis: University of Californi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14350"/>
                  </a:xfrm>
                  <a:prstGeom prst="rect">
                    <a:avLst/>
                  </a:prstGeom>
                  <a:noFill/>
                  <a:ln>
                    <a:noFill/>
                  </a:ln>
                </pic:spPr>
              </pic:pic>
            </a:graphicData>
          </a:graphic>
        </wp:inline>
      </w:drawing>
    </w:r>
  </w:p>
  <w:p w:rsidR="006E7931" w:rsidRPr="006E7931" w:rsidRDefault="006E7931" w:rsidP="006E7931">
    <w:pPr>
      <w:tabs>
        <w:tab w:val="center" w:pos="7100"/>
      </w:tabs>
      <w:spacing w:after="0" w:line="240" w:lineRule="auto"/>
      <w:rPr>
        <w:rFonts w:eastAsia="Times New Roman" w:cs="Times New Roman"/>
        <w:color w:val="1F497D" w:themeColor="text2"/>
        <w:sz w:val="24"/>
        <w:szCs w:val="24"/>
      </w:rPr>
    </w:pPr>
    <w:r w:rsidRPr="006E7931">
      <w:rPr>
        <w:rFonts w:eastAsia="Times New Roman" w:cs="Times New Roman"/>
        <w:color w:val="1F497D" w:themeColor="text2"/>
        <w:sz w:val="24"/>
        <w:szCs w:val="24"/>
      </w:rPr>
      <w:t>Development &amp; Alumni Relations – Advancement Services</w:t>
    </w:r>
  </w:p>
  <w:p w:rsidR="006E7931" w:rsidRPr="006E7931" w:rsidRDefault="006E7931" w:rsidP="006E7931">
    <w:pPr>
      <w:pStyle w:val="Header"/>
      <w:rPr>
        <w:color w:val="1F497D" w:themeColor="text2"/>
        <w:sz w:val="24"/>
        <w:szCs w:val="24"/>
      </w:rPr>
    </w:pPr>
    <w:r w:rsidRPr="006E7931">
      <w:rPr>
        <w:rFonts w:eastAsia="Times New Roman" w:cs="Times New Roman"/>
        <w:color w:val="1F497D" w:themeColor="text2"/>
        <w:sz w:val="24"/>
        <w:szCs w:val="24"/>
      </w:rPr>
      <w:t>Overdue Pledge Write-Off Policy</w:t>
    </w:r>
  </w:p>
  <w:p w:rsidR="006E7931" w:rsidRDefault="006E7931">
    <w:pPr>
      <w:pStyle w:val="Header"/>
    </w:pPr>
  </w:p>
  <w:p w:rsidR="006E7931" w:rsidRDefault="006E7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3C"/>
    <w:rsid w:val="00100D05"/>
    <w:rsid w:val="001B0022"/>
    <w:rsid w:val="001F5D70"/>
    <w:rsid w:val="002B5FB3"/>
    <w:rsid w:val="003D1D38"/>
    <w:rsid w:val="00556254"/>
    <w:rsid w:val="006B7C18"/>
    <w:rsid w:val="006E7931"/>
    <w:rsid w:val="00836AA1"/>
    <w:rsid w:val="00A3293F"/>
    <w:rsid w:val="00A643E9"/>
    <w:rsid w:val="00A6673C"/>
    <w:rsid w:val="00B52115"/>
    <w:rsid w:val="00DD6AE8"/>
    <w:rsid w:val="00E56D66"/>
    <w:rsid w:val="00E7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99997-D616-4F3B-870E-BE6D86AF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31"/>
  </w:style>
  <w:style w:type="paragraph" w:styleId="Footer">
    <w:name w:val="footer"/>
    <w:basedOn w:val="Normal"/>
    <w:link w:val="FooterChar"/>
    <w:uiPriority w:val="99"/>
    <w:unhideWhenUsed/>
    <w:rsid w:val="006E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31"/>
  </w:style>
  <w:style w:type="paragraph" w:styleId="BalloonText">
    <w:name w:val="Balloon Text"/>
    <w:basedOn w:val="Normal"/>
    <w:link w:val="BalloonTextChar"/>
    <w:uiPriority w:val="99"/>
    <w:semiHidden/>
    <w:unhideWhenUsed/>
    <w:rsid w:val="006E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31"/>
    <w:rPr>
      <w:rFonts w:ascii="Tahoma" w:hAnsi="Tahoma" w:cs="Tahoma"/>
      <w:sz w:val="16"/>
      <w:szCs w:val="16"/>
    </w:rPr>
  </w:style>
  <w:style w:type="table" w:styleId="TableGrid">
    <w:name w:val="Table Grid"/>
    <w:basedOn w:val="TableNormal"/>
    <w:uiPriority w:val="59"/>
    <w:rsid w:val="003D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ucdavis.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Hexter</dc:creator>
  <cp:lastModifiedBy>John Taylor</cp:lastModifiedBy>
  <cp:revision>2</cp:revision>
  <dcterms:created xsi:type="dcterms:W3CDTF">2015-06-23T15:50:00Z</dcterms:created>
  <dcterms:modified xsi:type="dcterms:W3CDTF">2015-06-23T15:50:00Z</dcterms:modified>
</cp:coreProperties>
</file>